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w:t>
      </w:r>
      <w:r>
        <w:rPr>
          <w:rFonts w:hint="eastAsia" w:ascii="方正小标宋简体" w:hAnsi="方正小标宋简体" w:eastAsia="方正小标宋简体" w:cs="方正小标宋简体"/>
          <w:bCs/>
          <w:sz w:val="44"/>
          <w:szCs w:val="44"/>
          <w:lang w:eastAsia="zh-CN"/>
        </w:rPr>
        <w:t>三</w:t>
      </w:r>
      <w:r>
        <w:rPr>
          <w:rFonts w:hint="eastAsia" w:ascii="方正小标宋简体" w:hAnsi="方正小标宋简体" w:eastAsia="方正小标宋简体" w:cs="方正小标宋简体"/>
          <w:bCs/>
          <w:sz w:val="44"/>
          <w:szCs w:val="44"/>
        </w:rPr>
        <w:t>届郑州地方高校职业技能竞赛</w:t>
      </w:r>
    </w:p>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大学生广告艺术赛项规程</w:t>
      </w:r>
    </w:p>
    <w:p>
      <w:pPr>
        <w:spacing w:line="600" w:lineRule="exact"/>
        <w:jc w:val="center"/>
        <w:rPr>
          <w:rFonts w:ascii="方正小标宋简体" w:hAnsi="方正小标宋简体" w:eastAsia="方正小标宋简体" w:cs="方正小标宋简体"/>
          <w:bCs/>
          <w:sz w:val="44"/>
          <w:szCs w:val="44"/>
        </w:rPr>
      </w:pPr>
    </w:p>
    <w:p>
      <w:pPr>
        <w:spacing w:line="600" w:lineRule="exact"/>
        <w:rPr>
          <w:rFonts w:ascii="仿宋_GB2312" w:hAnsi="仿宋_GB2312" w:eastAsia="仿宋_GB2312" w:cs="仿宋_GB2312"/>
          <w:sz w:val="32"/>
          <w:szCs w:val="32"/>
        </w:rPr>
      </w:pPr>
      <w:r>
        <w:rPr>
          <w:rFonts w:hint="eastAsia" w:ascii="黑体" w:hAnsi="黑体" w:eastAsia="黑体"/>
          <w:sz w:val="32"/>
          <w:szCs w:val="32"/>
        </w:rPr>
        <w:t xml:space="preserve">    一、赛项执行委员会</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  任：周春辉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副主任：薛培军  周晓莉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委  员：张帅旗  于书伟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金荣洲  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东</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张永强</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蒋明明</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秘书长：金荣洲（兼）</w:t>
      </w:r>
    </w:p>
    <w:p>
      <w:pPr>
        <w:spacing w:line="600" w:lineRule="exact"/>
        <w:rPr>
          <w:rFonts w:ascii="仿宋" w:hAnsi="仿宋" w:eastAsia="仿宋"/>
          <w:b/>
          <w:sz w:val="32"/>
          <w:szCs w:val="32"/>
        </w:rPr>
      </w:pPr>
      <w:r>
        <w:rPr>
          <w:rFonts w:hint="eastAsia" w:ascii="仿宋" w:hAnsi="仿宋" w:eastAsia="仿宋"/>
          <w:b/>
          <w:sz w:val="32"/>
          <w:szCs w:val="32"/>
        </w:rPr>
        <w:t xml:space="preserve">    </w:t>
      </w:r>
      <w:r>
        <w:rPr>
          <w:rFonts w:hint="eastAsia" w:ascii="黑体" w:hAnsi="黑体" w:eastAsia="黑体"/>
          <w:sz w:val="32"/>
          <w:szCs w:val="32"/>
        </w:rPr>
        <w:t>二、竞赛内容及形式</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郑州市大学生广告艺术</w:t>
      </w:r>
      <w:r>
        <w:rPr>
          <w:rFonts w:hint="eastAsia" w:ascii="仿宋_GB2312" w:hAnsi="仿宋_GB2312" w:eastAsia="仿宋_GB2312" w:cs="仿宋_GB2312"/>
          <w:sz w:val="32"/>
          <w:szCs w:val="32"/>
          <w:lang w:eastAsia="zh-CN"/>
        </w:rPr>
        <w:t>赛项</w:t>
      </w:r>
      <w:r>
        <w:rPr>
          <w:rFonts w:hint="eastAsia" w:ascii="仿宋_GB2312" w:hAnsi="仿宋_GB2312" w:eastAsia="仿宋_GB2312" w:cs="仿宋_GB2312"/>
          <w:sz w:val="32"/>
          <w:szCs w:val="32"/>
        </w:rPr>
        <w:t>（以下简称：郑广赛）竞赛内容由执委会提供，参赛学生按照提供的策略单和竞赛类别创作作品参赛。</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参赛作品分为八大类：</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1.平面类（移动端、传统媒体）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2.视频类（影视、微电影）</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3.动画类（移动端、电视） </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4.互动类（移动端、场景互动） </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5.广播类（广播电台、互联网音频）</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6.策划案类 (广告策划、营销策划）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7.营销创客类（已实现的项目）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8.公益类（自由选择作品类别创作）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郑广赛秉持公平公正的办赛原则，聘请学界、业界资深专</w:t>
      </w:r>
      <w:r>
        <w:rPr>
          <w:rFonts w:hint="eastAsia" w:ascii="仿宋_GB2312" w:hAnsi="仿宋_GB2312" w:eastAsia="仿宋_GB2312" w:cs="仿宋_GB2312"/>
          <w:sz w:val="32"/>
          <w:szCs w:val="32"/>
          <w:lang w:eastAsia="zh-CN"/>
        </w:rPr>
        <w:t>家</w:t>
      </w:r>
      <w:r>
        <w:rPr>
          <w:rFonts w:hint="eastAsia" w:ascii="仿宋_GB2312" w:hAnsi="仿宋_GB2312" w:eastAsia="仿宋_GB2312" w:cs="仿宋_GB2312"/>
          <w:sz w:val="32"/>
          <w:szCs w:val="32"/>
        </w:rPr>
        <w:t>组成评审团，评选参赛作品，并将评审后的作品进行网络公示，杜绝抄袭，确保赛事公正。</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郑广赛以企业营销及公益项目作为命题，与教学相结合，真题真做，了解受众，调研分析，提出方案，努力将郑广赛办成教学与市场相关联的实践教学平台，也成为企业提升知名度及扩大影响力的传播平台。</w:t>
      </w:r>
    </w:p>
    <w:p>
      <w:pPr>
        <w:spacing w:line="600" w:lineRule="exact"/>
        <w:ind w:firstLine="640" w:firstLineChars="200"/>
        <w:rPr>
          <w:rFonts w:ascii="仿宋" w:hAnsi="仿宋" w:eastAsia="仿宋"/>
          <w:sz w:val="32"/>
          <w:szCs w:val="32"/>
        </w:rPr>
      </w:pPr>
      <w:r>
        <w:rPr>
          <w:rFonts w:hint="eastAsia" w:ascii="仿宋_GB2312" w:hAnsi="仿宋_GB2312" w:eastAsia="仿宋_GB2312" w:cs="仿宋_GB2312"/>
          <w:sz w:val="32"/>
          <w:szCs w:val="32"/>
        </w:rPr>
        <w:t>大赛形式 ：政府主导　学生为主  教师带队 专家评审</w:t>
      </w:r>
      <w:r>
        <w:rPr>
          <w:rFonts w:hint="eastAsia" w:ascii="仿宋" w:hAnsi="仿宋" w:eastAsia="仿宋"/>
          <w:sz w:val="32"/>
          <w:szCs w:val="32"/>
        </w:rPr>
        <w:t>　</w:t>
      </w:r>
    </w:p>
    <w:p>
      <w:pPr>
        <w:spacing w:line="600" w:lineRule="exact"/>
        <w:ind w:firstLine="640"/>
        <w:rPr>
          <w:rFonts w:ascii="黑体" w:hAnsi="黑体" w:eastAsia="黑体"/>
          <w:bCs/>
          <w:sz w:val="32"/>
          <w:szCs w:val="32"/>
        </w:rPr>
      </w:pPr>
      <w:r>
        <w:rPr>
          <w:rFonts w:hint="eastAsia" w:ascii="黑体" w:hAnsi="黑体" w:eastAsia="黑体"/>
          <w:bCs/>
          <w:sz w:val="32"/>
          <w:szCs w:val="32"/>
        </w:rPr>
        <w:t>三、竞赛目的与任务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目的：以赛促教 鼓励创新 提升能力 增强素质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任务：引导高校关注广告、影视、播音及相关专业的发展趋势，指导和推动郑州市广告、影视、播音及相关专业课程与教学改革，加快这些专业高素质技能型人才的培养，增强应用型人才的就业竞争力。</w:t>
      </w:r>
    </w:p>
    <w:p>
      <w:pPr>
        <w:spacing w:line="600" w:lineRule="exact"/>
        <w:rPr>
          <w:rFonts w:ascii="黑体" w:hAnsi="黑体" w:eastAsia="黑体"/>
          <w:bCs/>
          <w:sz w:val="32"/>
          <w:szCs w:val="32"/>
        </w:rPr>
      </w:pPr>
      <w:r>
        <w:rPr>
          <w:rFonts w:hint="eastAsia" w:ascii="黑体" w:hAnsi="黑体" w:eastAsia="黑体"/>
          <w:bCs/>
          <w:sz w:val="32"/>
          <w:szCs w:val="32"/>
        </w:rPr>
        <w:t xml:space="preserve">    四、参赛对象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郑州市地方高校广告、影视、播音</w:t>
      </w:r>
      <w:r>
        <w:rPr>
          <w:rFonts w:hint="eastAsia" w:ascii="仿宋_GB2312" w:hAnsi="仿宋_GB2312" w:eastAsia="仿宋_GB2312" w:cs="仿宋_GB2312"/>
          <w:sz w:val="32"/>
          <w:szCs w:val="32"/>
          <w:lang w:eastAsia="zh-CN"/>
        </w:rPr>
        <w:t>、市场营销、艺术设计、动漫、网络与新媒体</w:t>
      </w:r>
      <w:r>
        <w:rPr>
          <w:rFonts w:hint="eastAsia" w:ascii="仿宋_GB2312" w:hAnsi="仿宋_GB2312" w:eastAsia="仿宋_GB2312" w:cs="仿宋_GB2312"/>
          <w:sz w:val="32"/>
          <w:szCs w:val="32"/>
        </w:rPr>
        <w:t>及相关专业在校全日制大学生均可参加。</w:t>
      </w:r>
    </w:p>
    <w:p>
      <w:pPr>
        <w:spacing w:line="600" w:lineRule="exact"/>
        <w:rPr>
          <w:rFonts w:ascii="仿宋" w:hAnsi="仿宋" w:eastAsia="仿宋"/>
          <w:b/>
          <w:sz w:val="32"/>
          <w:szCs w:val="32"/>
        </w:rPr>
      </w:pPr>
      <w:r>
        <w:rPr>
          <w:rFonts w:hint="eastAsia" w:ascii="仿宋" w:hAnsi="仿宋" w:eastAsia="仿宋"/>
          <w:b/>
          <w:sz w:val="32"/>
          <w:szCs w:val="32"/>
        </w:rPr>
        <w:t xml:space="preserve">    </w:t>
      </w:r>
      <w:r>
        <w:rPr>
          <w:rFonts w:hint="eastAsia" w:ascii="黑体" w:hAnsi="黑体" w:eastAsia="黑体"/>
          <w:bCs/>
          <w:sz w:val="32"/>
          <w:szCs w:val="32"/>
        </w:rPr>
        <w:t>五、比赛时间</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下</w:t>
      </w:r>
      <w:r>
        <w:rPr>
          <w:rFonts w:hint="eastAsia" w:ascii="仿宋_GB2312" w:hAnsi="仿宋_GB2312" w:eastAsia="仿宋_GB2312" w:cs="仿宋_GB2312"/>
          <w:sz w:val="32"/>
          <w:szCs w:val="32"/>
        </w:rPr>
        <w:t>旬启动，各高校自行组织。</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2．10月</w:t>
      </w:r>
      <w:r>
        <w:rPr>
          <w:rFonts w:hint="eastAsia" w:ascii="仿宋_GB2312" w:hAnsi="仿宋_GB2312" w:eastAsia="仿宋_GB2312" w:cs="仿宋_GB2312"/>
          <w:sz w:val="32"/>
          <w:szCs w:val="32"/>
          <w:lang w:val="en-US" w:eastAsia="zh-CN"/>
        </w:rPr>
        <w:t>20日前</w:t>
      </w:r>
      <w:r>
        <w:rPr>
          <w:rFonts w:hint="eastAsia" w:ascii="仿宋_GB2312" w:hAnsi="仿宋_GB2312" w:eastAsia="仿宋_GB2312" w:cs="仿宋_GB2312"/>
          <w:sz w:val="32"/>
          <w:szCs w:val="32"/>
        </w:rPr>
        <w:t>作品提交执委会。</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 10月28日-10月30日作品评奖。</w:t>
      </w:r>
    </w:p>
    <w:p>
      <w:pPr>
        <w:spacing w:line="600" w:lineRule="exact"/>
        <w:ind w:firstLine="640"/>
      </w:pPr>
      <w:r>
        <w:rPr>
          <w:rFonts w:hint="eastAsia" w:ascii="黑体" w:hAnsi="黑体" w:eastAsia="黑体"/>
          <w:bCs/>
          <w:sz w:val="32"/>
          <w:szCs w:val="32"/>
        </w:rPr>
        <w:t>六、参赛流程</w:t>
      </w:r>
    </w:p>
    <w:p>
      <w:pPr>
        <w:spacing w:line="600" w:lineRule="exact"/>
        <w:rPr>
          <w:rFonts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第1步：下载命题</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登陆郑广赛官网下载命题和报名表。</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第2步：作品创作</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第3步：报送作品</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各高校将报名表（选手填写）、报名汇总表（各高校填写）、作品光盘及纸质作品一同交到郑州工程技术学院文化与传播学院郑广赛执委会办公室（博文楼4106室）。</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第4步：评审</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竞赛将</w:t>
      </w:r>
      <w:r>
        <w:rPr>
          <w:rFonts w:hint="eastAsia" w:ascii="仿宋_GB2312" w:hAnsi="仿宋_GB2312" w:eastAsia="仿宋_GB2312" w:cs="仿宋_GB2312"/>
          <w:sz w:val="32"/>
          <w:szCs w:val="32"/>
          <w:lang w:eastAsia="zh-CN"/>
        </w:rPr>
        <w:t>由学界和业界专家组成评委团，分类型评奖，并</w:t>
      </w:r>
      <w:r>
        <w:rPr>
          <w:rFonts w:hint="eastAsia" w:ascii="仿宋_GB2312" w:hAnsi="仿宋_GB2312" w:eastAsia="仿宋_GB2312" w:cs="仿宋_GB2312"/>
          <w:sz w:val="32"/>
          <w:szCs w:val="32"/>
        </w:rPr>
        <w:t>按参赛</w:t>
      </w:r>
      <w:r>
        <w:rPr>
          <w:rFonts w:hint="eastAsia" w:ascii="仿宋_GB2312" w:hAnsi="仿宋_GB2312" w:eastAsia="仿宋_GB2312" w:cs="仿宋_GB2312"/>
          <w:sz w:val="32"/>
          <w:szCs w:val="32"/>
          <w:lang w:eastAsia="zh-CN"/>
        </w:rPr>
        <w:t>作品</w:t>
      </w:r>
      <w:r>
        <w:rPr>
          <w:rFonts w:hint="eastAsia" w:ascii="仿宋_GB2312" w:hAnsi="仿宋_GB2312" w:eastAsia="仿宋_GB2312" w:cs="仿宋_GB2312"/>
          <w:sz w:val="32"/>
          <w:szCs w:val="32"/>
        </w:rPr>
        <w:t>比例设置奖项。</w:t>
      </w:r>
    </w:p>
    <w:p>
      <w:pPr>
        <w:ind w:firstLine="640"/>
      </w:pPr>
      <w:r>
        <w:rPr>
          <w:rFonts w:hint="eastAsia" w:ascii="黑体" w:hAnsi="黑体" w:eastAsia="黑体"/>
          <w:bCs/>
          <w:sz w:val="32"/>
          <w:szCs w:val="32"/>
        </w:rPr>
        <w:t>七、作品规格及提交要求</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（一）平面类（移动端、传统媒体）</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移动端：移动端发布的静态广告，作品可超过6幅，可排版在3张画面上。</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传统媒体：包括纸质媒体广告、VI设计、包装设计、产品设计等。</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1.文件格式为jpg，色彩模式RGB, 规格A3（297×420mm），分辨率300dpi，作品不得超过3幅。</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2.各高校根据执委会的要求提交电子版作品或纸质作品；</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纸质作品打印规格：A3（297×420mm）并装裱在350×500mm黑卡纸或白卡纸上。</w:t>
      </w:r>
    </w:p>
    <w:p>
      <w:pPr>
        <w:spacing w:line="600" w:lineRule="exact"/>
        <w:ind w:firstLine="640"/>
        <w:rPr>
          <w:rFonts w:ascii="仿宋_GB2312" w:hAnsi="仿宋_GB2312" w:eastAsia="仿宋_GB2312" w:cs="仿宋_GB2312"/>
          <w:sz w:val="32"/>
          <w:szCs w:val="32"/>
        </w:rPr>
      </w:pPr>
      <w:r>
        <w:rPr>
          <w:rFonts w:hint="eastAsia" w:ascii="楷体" w:hAnsi="楷体" w:eastAsia="楷体" w:cs="楷体"/>
          <w:sz w:val="32"/>
          <w:szCs w:val="32"/>
        </w:rPr>
        <w:t>（二）视频类（影视、微电影）</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影视广告或带有故事情节的微电影广告</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1.拍摄工具及制作软件不限，影视广告时间：15秒或30秒。微电影广告180秒以内。画面宽度不小于600像素，不要倒计时。</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2.成片flv格式上传到指定邮箱，文件大小不超过30MB。</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3.光盘提交：提交高质量文件，格式不限。</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（三）动画类（移动端、电视）</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移动端（手机）动画广告：符合移动端发布的动画广告作品，时间30秒以内。（推荐使用iH5平台制作）</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电视端：符合电视及互联网计算机发布的动画广告作品。</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创作方式及制作软件不限，作品要符合动画广告的概念。24帧/秒，时间30秒以内，配音、配乐，系列作品不得超过3件，画面宽度600—960像素，不要倒计时。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1.成片swf格式或flv格式上传到指定邮箱，文件大小不超过20MB。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2.光盘提交：Flash文件须提交可编辑的fla格式及生成的swf格式，其他格式请提交高质量文件，格式不限。</w:t>
      </w:r>
    </w:p>
    <w:p>
      <w:pPr>
        <w:spacing w:line="600" w:lineRule="exact"/>
        <w:ind w:firstLine="640"/>
        <w:rPr>
          <w:rFonts w:ascii="仿宋_GB2312" w:hAnsi="仿宋_GB2312" w:eastAsia="仿宋_GB2312" w:cs="仿宋_GB2312"/>
          <w:sz w:val="32"/>
          <w:szCs w:val="32"/>
        </w:rPr>
      </w:pPr>
      <w:r>
        <w:rPr>
          <w:rFonts w:hint="eastAsia" w:ascii="楷体" w:hAnsi="楷体" w:eastAsia="楷体" w:cs="楷体"/>
          <w:sz w:val="32"/>
          <w:szCs w:val="32"/>
        </w:rPr>
        <w:t>(四）互动类（移动端、场景互动）</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1.互动广告包括A移动端（手机）iH5互动广告；B场景互动广告，不限位置。</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2.接收作品的格式：</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（1）线上互动类作品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①用iH5平台（www.iH5.cn）制作线上互动广告。可以为H5动画，H5游戏，H5电子杂志，H5交互视频等。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②作品分辨率要适合手机屏幕尺寸，即默认页面宽度640px，高度可以为1008px、1030px，页数不多于15页。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③作品的链接及二维码、报名表的电子文档发送到指定邮箱。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（2）场景互动广告以iH5文件形式加以演示说明，并提交作品链接；</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（五）广播类（广播电台、互联网音频）</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广播广告和移动端APP音频广告。广播时间30秒以内，系列作品不得超过3件。</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1.文件mp3格式，大小不超过3MB，发送到指定邮箱。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2.光盘提交：mp3格式。</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（六）策划案类（广告策划、营销策划）</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可以做广告策划案或其他营销策划。</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1.内容要求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（1）内容提要；（2）市场环境分析（数据翔实，引用数据资料注明出处，调查表附后）；（3）营销提案；（4）创意设计执行提案；</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（5）媒介提案；（6）广告预算（应符合企业命题中的广告总预算）。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2.策划案的提交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（1）不需提交提交作品。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（2）实物作品提交：策划书打印规格为A4纸, 正文不超过30页，附件不超过10页，装订成册。随策划书提交一张光盘，刻有PPT文件。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3.广告策划案可根据命题资料另拟广告主题，重新设定广告语。</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（七）营销创客类（已实现的项目）</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创客是以用户创新为核心理念，努力把各种创意转变为现实的人。营销创客就是在营销领域，将营销方案落地实施，实践自己所拟商业目标。</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1.在校已实现的创客、创业项目都可参赛。</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2.已完成的创客项目提交内容：营销策划案+实效成绩+营销过程视频。</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（实效业绩需提交有效证明）</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3.作品提交方式同策划案类同。</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（八）公益类（自由选择作品类别创作）</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1.公益命题类可以以平面、视频、动画、互动、广播、策划案等类别自选创作。</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2.作品规格、提交方式及要求，按相关类别标准执行。</w:t>
      </w:r>
    </w:p>
    <w:p>
      <w:pPr>
        <w:ind w:firstLine="640"/>
        <w:rPr>
          <w:rFonts w:ascii="黑体" w:hAnsi="黑体" w:eastAsia="黑体"/>
          <w:bCs/>
          <w:sz w:val="32"/>
          <w:szCs w:val="32"/>
        </w:rPr>
      </w:pPr>
      <w:r>
        <w:rPr>
          <w:rFonts w:hint="eastAsia" w:ascii="黑体" w:hAnsi="黑体" w:eastAsia="黑体"/>
          <w:bCs/>
          <w:sz w:val="32"/>
          <w:szCs w:val="32"/>
        </w:rPr>
        <w:t xml:space="preserve"> 八、参赛须知</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（一）各高校自行组织，统一报送，参加全市高校的评审。郑广赛执委会不受理个人报送的作品。</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（二）参赛选手报名表和报名汇总表须加盖所在学校或院系公章。</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（三）作品展示部分不准出现院校、系、姓名及其他特殊标记。</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（四）需要提交光盘的参赛作品，光盘随作品一并报送，提交的光盘上务必标明参赛院校、系、姓名。</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（五）直接发送到指定邮箱的作品，请在邮件正文部分注明院校、系、姓名及作品名称。参赛作品作为附件上传。</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（六）集体创作的作品作者人数要求：</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平面类不超过2人，动画类、互动类、广播类不超过3人，视频类、策划案类、营销创客类不超过5人；并在报名表创意小组名单和报名签字一栏中按第一、二、三、四、五作者的顺序填写。</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每件作品的指导老师：平面类作品不得超过1人，其他类别作品不得超过2人。</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）学生创作所用素材请在报名表中注明出处。</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八</w:t>
      </w:r>
      <w:bookmarkStart w:id="0" w:name="_GoBack"/>
      <w:bookmarkEnd w:id="0"/>
      <w:r>
        <w:rPr>
          <w:rFonts w:hint="eastAsia" w:ascii="仿宋_GB2312" w:hAnsi="仿宋_GB2312" w:eastAsia="仿宋_GB2312" w:cs="仿宋_GB2312"/>
          <w:sz w:val="32"/>
          <w:szCs w:val="32"/>
        </w:rPr>
        <w:t>）请遵守《承诺书》的承诺。</w:t>
      </w:r>
    </w:p>
    <w:p>
      <w:pPr>
        <w:ind w:firstLine="640"/>
        <w:rPr>
          <w:rFonts w:ascii="黑体" w:hAnsi="黑体" w:eastAsia="黑体"/>
          <w:bCs/>
          <w:sz w:val="32"/>
          <w:szCs w:val="32"/>
        </w:rPr>
      </w:pPr>
      <w:r>
        <w:rPr>
          <w:rFonts w:hint="eastAsia" w:ascii="黑体" w:hAnsi="黑体" w:eastAsia="黑体"/>
          <w:bCs/>
          <w:sz w:val="32"/>
          <w:szCs w:val="32"/>
        </w:rPr>
        <w:t>九、提交作品其他要求</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纸质作品按执委会通知要求提供，所交纸质作品内容需要与网上提交的一致，否则视为无效作品。</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（一）电子作品要求发到指定邮箱</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注意：策划案类只需发来报名表，不需发来电子作品。 </w:t>
      </w:r>
    </w:p>
    <w:p>
      <w:pPr>
        <w:spacing w:line="600" w:lineRule="exact"/>
        <w:ind w:firstLine="640"/>
        <w:rPr>
          <w:rFonts w:hint="eastAsia" w:ascii="楷体" w:hAnsi="楷体" w:eastAsia="楷体" w:cs="楷体"/>
          <w:sz w:val="32"/>
          <w:szCs w:val="32"/>
        </w:rPr>
      </w:pPr>
      <w:r>
        <w:rPr>
          <w:rFonts w:hint="eastAsia" w:ascii="楷体" w:hAnsi="楷体" w:eastAsia="楷体" w:cs="楷体"/>
          <w:sz w:val="32"/>
          <w:szCs w:val="32"/>
        </w:rPr>
        <w:t>（二）纸质及光盘作品提交</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1.报名表、纸质作品及光盘统一提交给各高校赛事负责人，《参赛报名表》需学校盖章。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2.各高校负责核对参赛者提交的报名表、作品、光盘和参赛编号，填写院校参赛统计表，分类别报送执委会。 </w:t>
      </w:r>
    </w:p>
    <w:p>
      <w:pPr>
        <w:spacing w:line="600" w:lineRule="exact"/>
        <w:ind w:firstLine="640"/>
        <w:rPr>
          <w:rFonts w:ascii="仿宋_GB2312" w:hAnsi="仿宋_GB2312" w:eastAsia="仿宋_GB2312" w:cs="仿宋_GB2312"/>
          <w:sz w:val="32"/>
          <w:szCs w:val="32"/>
        </w:rPr>
      </w:pPr>
      <w:r>
        <w:rPr>
          <w:rFonts w:hint="eastAsia" w:ascii="楷体" w:hAnsi="楷体" w:eastAsia="楷体" w:cs="楷体"/>
          <w:sz w:val="32"/>
          <w:szCs w:val="32"/>
        </w:rPr>
        <w:t xml:space="preserve">（三）作品提交形式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各高校按照类别整理报名表和参赛作品，按要求提交参评作品相关表格及作品光盘。平面作品提交作品名单、光盘，视频、动画、广播提交光盘和文件目录，策划案纸质作品按要求在规定时间寄或送达郑广赛执委会。 </w:t>
      </w:r>
    </w:p>
    <w:p>
      <w:pPr>
        <w:ind w:firstLine="640"/>
        <w:rPr>
          <w:rFonts w:ascii="黑体" w:hAnsi="黑体" w:eastAsia="黑体"/>
          <w:bCs/>
          <w:sz w:val="32"/>
          <w:szCs w:val="32"/>
        </w:rPr>
      </w:pPr>
      <w:r>
        <w:rPr>
          <w:rFonts w:hint="eastAsia" w:ascii="黑体" w:hAnsi="黑体" w:eastAsia="黑体"/>
          <w:bCs/>
          <w:sz w:val="32"/>
          <w:szCs w:val="32"/>
        </w:rPr>
        <w:t>十、奖项设置</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设一等奖10%、二等奖20%、三等奖30%，优秀奖40%。其中一等奖、二等奖</w:t>
      </w:r>
      <w:r>
        <w:rPr>
          <w:rFonts w:hint="eastAsia" w:ascii="仿宋_GB2312" w:hAnsi="仿宋_GB2312" w:eastAsia="仿宋_GB2312" w:cs="仿宋_GB2312"/>
          <w:sz w:val="32"/>
          <w:szCs w:val="32"/>
          <w:lang w:eastAsia="zh-CN"/>
        </w:rPr>
        <w:t>参赛作品的</w:t>
      </w:r>
      <w:r>
        <w:rPr>
          <w:rFonts w:hint="eastAsia" w:ascii="仿宋_GB2312" w:hAnsi="仿宋_GB2312" w:eastAsia="仿宋_GB2312" w:cs="仿宋_GB2312"/>
          <w:sz w:val="32"/>
          <w:szCs w:val="32"/>
        </w:rPr>
        <w:t>指导教师获得</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指导教师奖。</w:t>
      </w:r>
    </w:p>
    <w:p>
      <w:pPr>
        <w:ind w:firstLine="640"/>
        <w:rPr>
          <w:rFonts w:ascii="黑体" w:hAnsi="黑体" w:eastAsia="黑体"/>
          <w:bCs/>
          <w:sz w:val="32"/>
          <w:szCs w:val="32"/>
        </w:rPr>
      </w:pPr>
      <w:r>
        <w:rPr>
          <w:rFonts w:hint="eastAsia" w:ascii="黑体" w:hAnsi="黑体" w:eastAsia="黑体"/>
          <w:bCs/>
          <w:sz w:val="32"/>
          <w:szCs w:val="32"/>
        </w:rPr>
        <w:t>十一、截稿时间</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本届郑广赛作品提交截止日期为2017年10月20日（含电子和实物作品），邮寄日期以邮戳为准。</w:t>
      </w:r>
    </w:p>
    <w:p>
      <w:pPr>
        <w:ind w:firstLine="640"/>
        <w:rPr>
          <w:rFonts w:ascii="黑体" w:hAnsi="黑体" w:eastAsia="黑体"/>
          <w:bCs/>
          <w:sz w:val="32"/>
          <w:szCs w:val="32"/>
        </w:rPr>
      </w:pPr>
      <w:r>
        <w:rPr>
          <w:rFonts w:hint="eastAsia" w:ascii="黑体" w:hAnsi="黑体" w:eastAsia="黑体"/>
          <w:bCs/>
          <w:sz w:val="32"/>
          <w:szCs w:val="32"/>
        </w:rPr>
        <w:t>十二、作品标准</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各类参赛作品应以原创性为原则，遵守《广告法》和其他国家有关法律及政策法规、行业规范等要求。鼓励采用广告新思维、新形式、新媒介进行设计和策划。</w:t>
      </w:r>
    </w:p>
    <w:p>
      <w:pPr>
        <w:ind w:firstLine="640"/>
        <w:rPr>
          <w:rFonts w:ascii="黑体" w:hAnsi="黑体" w:eastAsia="黑体"/>
          <w:bCs/>
          <w:sz w:val="32"/>
          <w:szCs w:val="32"/>
        </w:rPr>
      </w:pPr>
      <w:r>
        <w:rPr>
          <w:rFonts w:hint="eastAsia" w:ascii="黑体" w:hAnsi="黑体" w:eastAsia="黑体"/>
          <w:bCs/>
          <w:sz w:val="32"/>
          <w:szCs w:val="32"/>
        </w:rPr>
        <w:t>十三、执委会秘书处联系方式</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地址：英才街8号郑州工程技术学院文化与传播学院</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邮编：450044</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联系人：金荣洲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联系电话：15803995928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郑广赛指定邮箱：zhengzhoudgs@126.com     </w:t>
      </w:r>
    </w:p>
    <w:p>
      <w:pPr>
        <w:spacing w:line="600" w:lineRule="exact"/>
        <w:ind w:firstLine="640"/>
        <w:rPr>
          <w:rFonts w:hint="eastAsia" w:ascii="楷体" w:hAnsi="楷体" w:eastAsia="楷体" w:cs="楷体"/>
          <w:sz w:val="32"/>
          <w:szCs w:val="32"/>
        </w:rPr>
      </w:pPr>
      <w:r>
        <w:rPr>
          <w:rFonts w:hint="eastAsia" w:ascii="仿宋_GB2312" w:hAnsi="仿宋_GB2312" w:eastAsia="仿宋_GB2312" w:cs="仿宋_GB2312"/>
          <w:sz w:val="32"/>
          <w:szCs w:val="32"/>
        </w:rPr>
        <w:t>本参赛规则由第</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届郑州地方高校职业技能竞赛大学生广告艺术</w:t>
      </w:r>
      <w:r>
        <w:rPr>
          <w:rFonts w:hint="eastAsia" w:ascii="仿宋_GB2312" w:hAnsi="仿宋_GB2312" w:eastAsia="仿宋_GB2312" w:cs="仿宋_GB2312"/>
          <w:sz w:val="32"/>
          <w:szCs w:val="32"/>
          <w:lang w:eastAsia="zh-CN"/>
        </w:rPr>
        <w:t>赛项</w:t>
      </w:r>
      <w:r>
        <w:rPr>
          <w:rFonts w:hint="eastAsia" w:ascii="仿宋_GB2312" w:hAnsi="仿宋_GB2312" w:eastAsia="仿宋_GB2312" w:cs="仿宋_GB2312"/>
          <w:sz w:val="32"/>
          <w:szCs w:val="32"/>
        </w:rPr>
        <w:t>执委会负责解释，未尽事宜，可在工作时间电话咨询。</w:t>
      </w:r>
    </w:p>
    <w:sectPr>
      <w:footerReference r:id="rId4" w:type="default"/>
      <w:pgSz w:w="11906" w:h="16838"/>
      <w:pgMar w:top="1440" w:right="1689" w:bottom="1440" w:left="1689"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A00002EF" w:usb1="4000004B" w:usb2="00000000" w:usb3="00000000" w:csb0="2000019F" w:csb1="00000000"/>
  </w:font>
  <w:font w:name="Calibri">
    <w:panose1 w:val="020F0502020204030204"/>
    <w:charset w:val="00"/>
    <w:family w:val="auto"/>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等线" w:hAnsi="等线" w:eastAsia="等线" w:cs="黑体"/>
        <w:kern w:val="2"/>
        <w:sz w:val="18"/>
        <w:szCs w:val="18"/>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qFormat="1" w:uiPriority="99" w:semiHidden="0" w:name="Balloon Text"/>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6">
    <w:name w:val="Default Paragraph Font"/>
    <w:unhideWhenUsed/>
    <w:qFormat/>
    <w:uiPriority w:val="1"/>
  </w:style>
  <w:style w:type="paragraph" w:styleId="2">
    <w:name w:val="Date"/>
    <w:basedOn w:val="1"/>
    <w:next w:val="1"/>
    <w:link w:val="8"/>
    <w:unhideWhenUsed/>
    <w:qFormat/>
    <w:uiPriority w:val="99"/>
    <w:pPr>
      <w:ind w:left="100" w:leftChars="2500"/>
    </w:p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日期 Char Char"/>
    <w:basedOn w:val="6"/>
    <w:link w:val="2"/>
    <w:uiPriority w:val="99"/>
    <w:rPr/>
  </w:style>
  <w:style w:type="character" w:customStyle="1" w:styleId="9">
    <w:name w:val="页眉 Char Char"/>
    <w:link w:val="5"/>
    <w:uiPriority w:val="99"/>
    <w:rPr>
      <w:sz w:val="18"/>
      <w:szCs w:val="18"/>
    </w:rPr>
  </w:style>
  <w:style w:type="character" w:customStyle="1" w:styleId="10">
    <w:name w:val="页脚 Char Char"/>
    <w:link w:val="4"/>
    <w:uiPriority w:val="99"/>
    <w:rPr>
      <w:sz w:val="18"/>
      <w:szCs w:val="18"/>
    </w:rPr>
  </w:style>
  <w:style w:type="character" w:customStyle="1" w:styleId="11">
    <w:name w:val="批注框文本 Char Char"/>
    <w:link w:val="3"/>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537</Words>
  <Characters>3061</Characters>
  <Lines>25</Lines>
  <Paragraphs>7</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2017-06-17T23:40:00Z</dcterms:created>
  <dc:creator>Microsoft</dc:creator>
  <cp:lastModifiedBy>zzedu</cp:lastModifiedBy>
  <cp:lastPrinted>2017-06-15T22:37:00Z</cp:lastPrinted>
  <dcterms:modified xsi:type="dcterms:W3CDTF">2017-08-24T05:47:18Z</dcterms:modified>
  <dc:title>第二届郑州地方高校职业技能竞赛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